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90C" w:rsidRDefault="00CB190C" w:rsidP="00CB190C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Maestría en Mediación Intercultural</w:t>
      </w:r>
    </w:p>
    <w:p w:rsidR="00CB190C" w:rsidRPr="00D9786C" w:rsidRDefault="00CB190C" w:rsidP="00CB190C">
      <w:pPr>
        <w:jc w:val="center"/>
        <w:rPr>
          <w:rFonts w:ascii="Arial" w:hAnsi="Arial" w:cs="Arial"/>
          <w:b/>
          <w:sz w:val="24"/>
          <w:szCs w:val="24"/>
        </w:rPr>
      </w:pPr>
      <w:r w:rsidRPr="00D9786C">
        <w:rPr>
          <w:rFonts w:ascii="Arial" w:hAnsi="Arial" w:cs="Arial"/>
          <w:b/>
          <w:sz w:val="24"/>
          <w:szCs w:val="24"/>
        </w:rPr>
        <w:t>Plan de estudios</w:t>
      </w:r>
    </w:p>
    <w:tbl>
      <w:tblPr>
        <w:tblStyle w:val="Tablaconcuadrcula"/>
        <w:tblW w:w="8897" w:type="dxa"/>
        <w:tblLayout w:type="fixed"/>
        <w:tblLook w:val="04A0" w:firstRow="1" w:lastRow="0" w:firstColumn="1" w:lastColumn="0" w:noHBand="0" w:noVBand="1"/>
      </w:tblPr>
      <w:tblGrid>
        <w:gridCol w:w="4644"/>
        <w:gridCol w:w="1418"/>
        <w:gridCol w:w="2835"/>
      </w:tblGrid>
      <w:tr w:rsidR="00CB190C" w:rsidRPr="00A25884" w:rsidTr="00F1222D">
        <w:tc>
          <w:tcPr>
            <w:tcW w:w="4644" w:type="dxa"/>
          </w:tcPr>
          <w:p w:rsidR="00CB190C" w:rsidRPr="00A25884" w:rsidRDefault="00CB190C" w:rsidP="00F1222D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25884">
              <w:rPr>
                <w:rFonts w:ascii="Arial Narrow" w:hAnsi="Arial Narrow" w:cs="Arial"/>
                <w:b/>
                <w:sz w:val="24"/>
                <w:szCs w:val="24"/>
              </w:rPr>
              <w:t>Asignatura</w:t>
            </w:r>
          </w:p>
        </w:tc>
        <w:tc>
          <w:tcPr>
            <w:tcW w:w="1418" w:type="dxa"/>
          </w:tcPr>
          <w:p w:rsidR="00CB190C" w:rsidRPr="003B2702" w:rsidRDefault="00CB190C" w:rsidP="00F1222D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B2702">
              <w:rPr>
                <w:rFonts w:ascii="Arial Narrow" w:hAnsi="Arial Narrow" w:cs="Arial"/>
                <w:b/>
              </w:rPr>
              <w:t>Créditos</w:t>
            </w:r>
          </w:p>
        </w:tc>
        <w:tc>
          <w:tcPr>
            <w:tcW w:w="2835" w:type="dxa"/>
          </w:tcPr>
          <w:p w:rsidR="00CB190C" w:rsidRPr="00A25884" w:rsidRDefault="00CB190C" w:rsidP="00F1222D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Eje</w:t>
            </w:r>
          </w:p>
        </w:tc>
      </w:tr>
      <w:tr w:rsidR="00CB190C" w:rsidRPr="00A25884" w:rsidTr="00F1222D">
        <w:tc>
          <w:tcPr>
            <w:tcW w:w="4644" w:type="dxa"/>
          </w:tcPr>
          <w:p w:rsidR="00CB190C" w:rsidRPr="00D74944" w:rsidRDefault="00CB190C" w:rsidP="00F1222D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Historia de</w:t>
            </w:r>
            <w:r w:rsidRPr="00D74944">
              <w:rPr>
                <w:rFonts w:ascii="Arial Narrow" w:hAnsi="Arial Narrow" w:cs="Arial"/>
                <w:sz w:val="24"/>
                <w:szCs w:val="24"/>
              </w:rPr>
              <w:t xml:space="preserve"> la violencia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y los movimientos sociales</w:t>
            </w:r>
            <w:r w:rsidRPr="00D74944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CB190C" w:rsidRPr="00A25884" w:rsidRDefault="00CB190C" w:rsidP="00F1222D">
            <w:pPr>
              <w:spacing w:line="27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CB190C" w:rsidRPr="00A25884" w:rsidRDefault="00CB190C" w:rsidP="00F1222D">
            <w:pPr>
              <w:spacing w:line="27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Teórico</w:t>
            </w:r>
          </w:p>
        </w:tc>
      </w:tr>
      <w:tr w:rsidR="00CB190C" w:rsidTr="00F1222D">
        <w:tc>
          <w:tcPr>
            <w:tcW w:w="4644" w:type="dxa"/>
          </w:tcPr>
          <w:p w:rsidR="00CB190C" w:rsidRPr="00D74944" w:rsidRDefault="00CB190C" w:rsidP="00F1222D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Salud, nutrición y medio ambiente.</w:t>
            </w:r>
          </w:p>
        </w:tc>
        <w:tc>
          <w:tcPr>
            <w:tcW w:w="1418" w:type="dxa"/>
          </w:tcPr>
          <w:p w:rsidR="00CB190C" w:rsidRPr="00A25884" w:rsidRDefault="00CB190C" w:rsidP="00F1222D">
            <w:pPr>
              <w:spacing w:line="27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CB190C" w:rsidRPr="00A25884" w:rsidRDefault="00CB190C" w:rsidP="00F1222D">
            <w:pPr>
              <w:spacing w:line="27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Teórico</w:t>
            </w:r>
          </w:p>
        </w:tc>
      </w:tr>
      <w:tr w:rsidR="00CB190C" w:rsidTr="00F1222D">
        <w:tc>
          <w:tcPr>
            <w:tcW w:w="4644" w:type="dxa"/>
          </w:tcPr>
          <w:p w:rsidR="00CB190C" w:rsidRPr="00D74944" w:rsidRDefault="00CB190C" w:rsidP="00F1222D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Derechos de la infancia y la adolescencia.</w:t>
            </w:r>
          </w:p>
        </w:tc>
        <w:tc>
          <w:tcPr>
            <w:tcW w:w="1418" w:type="dxa"/>
          </w:tcPr>
          <w:p w:rsidR="00CB190C" w:rsidRPr="00A25884" w:rsidRDefault="00CB190C" w:rsidP="00F1222D">
            <w:pPr>
              <w:spacing w:line="27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CB190C" w:rsidRPr="00A25884" w:rsidRDefault="00CB190C" w:rsidP="00F1222D">
            <w:pPr>
              <w:spacing w:line="27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Teórico</w:t>
            </w:r>
          </w:p>
        </w:tc>
      </w:tr>
      <w:tr w:rsidR="00CB190C" w:rsidTr="00F1222D">
        <w:tc>
          <w:tcPr>
            <w:tcW w:w="4644" w:type="dxa"/>
          </w:tcPr>
          <w:p w:rsidR="00CB190C" w:rsidRPr="00D74944" w:rsidRDefault="00CB190C" w:rsidP="00F1222D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Familia, progenie y poder.</w:t>
            </w:r>
          </w:p>
        </w:tc>
        <w:tc>
          <w:tcPr>
            <w:tcW w:w="1418" w:type="dxa"/>
          </w:tcPr>
          <w:p w:rsidR="00CB190C" w:rsidRPr="00A25884" w:rsidRDefault="00CB190C" w:rsidP="00F1222D">
            <w:pPr>
              <w:spacing w:line="27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CB190C" w:rsidRPr="00A25884" w:rsidRDefault="00CB190C" w:rsidP="00F1222D">
            <w:pPr>
              <w:spacing w:line="27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Teórico</w:t>
            </w:r>
          </w:p>
        </w:tc>
      </w:tr>
      <w:tr w:rsidR="00CB190C" w:rsidTr="00F1222D">
        <w:tc>
          <w:tcPr>
            <w:tcW w:w="4644" w:type="dxa"/>
          </w:tcPr>
          <w:p w:rsidR="00CB190C" w:rsidRPr="00D74944" w:rsidRDefault="00CB190C" w:rsidP="00F1222D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Derechos humanos en México.</w:t>
            </w:r>
          </w:p>
        </w:tc>
        <w:tc>
          <w:tcPr>
            <w:tcW w:w="1418" w:type="dxa"/>
          </w:tcPr>
          <w:p w:rsidR="00CB190C" w:rsidRPr="00A25884" w:rsidRDefault="00CB190C" w:rsidP="00F1222D">
            <w:pPr>
              <w:spacing w:line="27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CB190C" w:rsidRPr="00A25884" w:rsidRDefault="00CB190C" w:rsidP="00F1222D">
            <w:pPr>
              <w:spacing w:line="27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Teórico</w:t>
            </w:r>
          </w:p>
        </w:tc>
      </w:tr>
      <w:tr w:rsidR="00CB190C" w:rsidTr="00F1222D">
        <w:tc>
          <w:tcPr>
            <w:tcW w:w="4644" w:type="dxa"/>
          </w:tcPr>
          <w:p w:rsidR="00CB190C" w:rsidRDefault="00CB190C" w:rsidP="00F1222D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Ciencia y desarrollo emocional</w:t>
            </w:r>
          </w:p>
        </w:tc>
        <w:tc>
          <w:tcPr>
            <w:tcW w:w="1418" w:type="dxa"/>
          </w:tcPr>
          <w:p w:rsidR="00CB190C" w:rsidRPr="00A25884" w:rsidRDefault="00CB190C" w:rsidP="00F1222D">
            <w:pPr>
              <w:spacing w:line="27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CB190C" w:rsidRPr="00A25884" w:rsidRDefault="00CB190C" w:rsidP="00F1222D">
            <w:pPr>
              <w:spacing w:line="27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Teórico</w:t>
            </w:r>
          </w:p>
        </w:tc>
      </w:tr>
      <w:tr w:rsidR="00CB190C" w:rsidRPr="00A25884" w:rsidTr="00F1222D">
        <w:tc>
          <w:tcPr>
            <w:tcW w:w="4644" w:type="dxa"/>
          </w:tcPr>
          <w:p w:rsidR="00CB190C" w:rsidRPr="009B5A21" w:rsidRDefault="00CB190C" w:rsidP="00F1222D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Mediación del conflicto.</w:t>
            </w:r>
          </w:p>
        </w:tc>
        <w:tc>
          <w:tcPr>
            <w:tcW w:w="1418" w:type="dxa"/>
          </w:tcPr>
          <w:p w:rsidR="00CB190C" w:rsidRPr="00A25884" w:rsidRDefault="00CB190C" w:rsidP="00F1222D">
            <w:pPr>
              <w:spacing w:line="27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CB190C" w:rsidRPr="00A25884" w:rsidRDefault="00CB190C" w:rsidP="00F1222D">
            <w:pPr>
              <w:spacing w:line="27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Metodológico</w:t>
            </w:r>
          </w:p>
        </w:tc>
      </w:tr>
      <w:tr w:rsidR="00CB190C" w:rsidRPr="00A25884" w:rsidTr="00F1222D">
        <w:tc>
          <w:tcPr>
            <w:tcW w:w="4644" w:type="dxa"/>
          </w:tcPr>
          <w:p w:rsidR="00CB190C" w:rsidRPr="009B5A21" w:rsidRDefault="00CB190C" w:rsidP="00F1222D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Convivencia y acoso escolar.</w:t>
            </w:r>
          </w:p>
        </w:tc>
        <w:tc>
          <w:tcPr>
            <w:tcW w:w="1418" w:type="dxa"/>
          </w:tcPr>
          <w:p w:rsidR="00CB190C" w:rsidRPr="00A25884" w:rsidRDefault="00CB190C" w:rsidP="00F1222D">
            <w:pPr>
              <w:spacing w:line="27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CB190C" w:rsidRPr="00A25884" w:rsidRDefault="00CB190C" w:rsidP="00F1222D">
            <w:pPr>
              <w:spacing w:line="27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Metodológico</w:t>
            </w:r>
          </w:p>
        </w:tc>
      </w:tr>
      <w:tr w:rsidR="00CB190C" w:rsidRPr="00A25884" w:rsidTr="00F1222D">
        <w:tc>
          <w:tcPr>
            <w:tcW w:w="4644" w:type="dxa"/>
          </w:tcPr>
          <w:p w:rsidR="00CB190C" w:rsidRPr="009B5A21" w:rsidRDefault="00CB190C" w:rsidP="00F1222D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  <w:r w:rsidRPr="009B5A21">
              <w:rPr>
                <w:rFonts w:ascii="Arial Narrow" w:hAnsi="Arial Narrow" w:cs="Arial"/>
                <w:sz w:val="24"/>
                <w:szCs w:val="24"/>
              </w:rPr>
              <w:t>Análisis de la salud social.</w:t>
            </w:r>
          </w:p>
        </w:tc>
        <w:tc>
          <w:tcPr>
            <w:tcW w:w="1418" w:type="dxa"/>
          </w:tcPr>
          <w:p w:rsidR="00CB190C" w:rsidRPr="00A25884" w:rsidRDefault="00CB190C" w:rsidP="00F1222D">
            <w:pPr>
              <w:spacing w:line="27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CB190C" w:rsidRPr="00A25884" w:rsidRDefault="00CB190C" w:rsidP="00F1222D">
            <w:pPr>
              <w:spacing w:line="27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Metodológico</w:t>
            </w:r>
          </w:p>
        </w:tc>
      </w:tr>
      <w:tr w:rsidR="00CB190C" w:rsidRPr="00A25884" w:rsidTr="00F1222D">
        <w:tc>
          <w:tcPr>
            <w:tcW w:w="4644" w:type="dxa"/>
          </w:tcPr>
          <w:p w:rsidR="00CB190C" w:rsidRPr="009B5A21" w:rsidRDefault="00CB190C" w:rsidP="00F1222D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Mediación comunitaria y grupos vulnerables</w:t>
            </w:r>
            <w:r w:rsidRPr="009B5A21">
              <w:rPr>
                <w:rFonts w:ascii="Arial Narrow" w:hAnsi="Arial Narrow" w:cs="Arial"/>
                <w:sz w:val="24"/>
                <w:szCs w:val="24"/>
              </w:rPr>
              <w:t>.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CB190C" w:rsidRPr="00A25884" w:rsidRDefault="00CB190C" w:rsidP="00F1222D">
            <w:pPr>
              <w:spacing w:line="27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CB190C" w:rsidRPr="00A25884" w:rsidRDefault="00CB190C" w:rsidP="00F1222D">
            <w:pPr>
              <w:spacing w:line="27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Metodológico</w:t>
            </w:r>
          </w:p>
        </w:tc>
      </w:tr>
      <w:tr w:rsidR="00CB190C" w:rsidRPr="00A25884" w:rsidTr="00F1222D">
        <w:tc>
          <w:tcPr>
            <w:tcW w:w="4644" w:type="dxa"/>
          </w:tcPr>
          <w:p w:rsidR="00CB190C" w:rsidRDefault="00CB190C" w:rsidP="00F1222D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Análisis de género en la cultura.</w:t>
            </w:r>
          </w:p>
        </w:tc>
        <w:tc>
          <w:tcPr>
            <w:tcW w:w="1418" w:type="dxa"/>
          </w:tcPr>
          <w:p w:rsidR="00CB190C" w:rsidRPr="00A25884" w:rsidRDefault="00CB190C" w:rsidP="00F1222D">
            <w:pPr>
              <w:spacing w:line="27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CB190C" w:rsidRPr="00A25884" w:rsidRDefault="00CB190C" w:rsidP="00F1222D">
            <w:pPr>
              <w:spacing w:line="27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Metodológico</w:t>
            </w:r>
          </w:p>
        </w:tc>
      </w:tr>
      <w:tr w:rsidR="00CB190C" w:rsidRPr="00A25884" w:rsidTr="00F1222D">
        <w:tc>
          <w:tcPr>
            <w:tcW w:w="4644" w:type="dxa"/>
          </w:tcPr>
          <w:p w:rsidR="00CB190C" w:rsidRPr="009B5A21" w:rsidRDefault="00CB190C" w:rsidP="00F1222D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Gestión de proyectos interculturales.</w:t>
            </w:r>
          </w:p>
        </w:tc>
        <w:tc>
          <w:tcPr>
            <w:tcW w:w="1418" w:type="dxa"/>
          </w:tcPr>
          <w:p w:rsidR="00CB190C" w:rsidRPr="00A25884" w:rsidRDefault="00CB190C" w:rsidP="00F1222D">
            <w:pPr>
              <w:spacing w:line="27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CB190C" w:rsidRPr="00A25884" w:rsidRDefault="00CB190C" w:rsidP="00F1222D">
            <w:pPr>
              <w:spacing w:line="27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Metodológico</w:t>
            </w:r>
          </w:p>
        </w:tc>
      </w:tr>
      <w:tr w:rsidR="00CB190C" w:rsidRPr="00A25884" w:rsidTr="00F1222D">
        <w:tc>
          <w:tcPr>
            <w:tcW w:w="4644" w:type="dxa"/>
          </w:tcPr>
          <w:p w:rsidR="00CB190C" w:rsidRPr="009B5A21" w:rsidRDefault="00CB190C" w:rsidP="00F1222D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Comunicación íntima.</w:t>
            </w:r>
          </w:p>
        </w:tc>
        <w:tc>
          <w:tcPr>
            <w:tcW w:w="1418" w:type="dxa"/>
          </w:tcPr>
          <w:p w:rsidR="00CB190C" w:rsidRPr="00A25884" w:rsidRDefault="00CB190C" w:rsidP="00F1222D">
            <w:pPr>
              <w:spacing w:line="27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CB190C" w:rsidRPr="00A25884" w:rsidRDefault="00CB190C" w:rsidP="00F1222D">
            <w:pPr>
              <w:spacing w:line="27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Experiencial</w:t>
            </w:r>
          </w:p>
        </w:tc>
      </w:tr>
      <w:tr w:rsidR="00CB190C" w:rsidRPr="00A25884" w:rsidTr="00F1222D">
        <w:tc>
          <w:tcPr>
            <w:tcW w:w="4644" w:type="dxa"/>
          </w:tcPr>
          <w:p w:rsidR="00CB190C" w:rsidRPr="009B5A21" w:rsidRDefault="00CB190C" w:rsidP="00F1222D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Comunicación intercultural.</w:t>
            </w:r>
          </w:p>
        </w:tc>
        <w:tc>
          <w:tcPr>
            <w:tcW w:w="1418" w:type="dxa"/>
          </w:tcPr>
          <w:p w:rsidR="00CB190C" w:rsidRPr="00A25884" w:rsidRDefault="00CB190C" w:rsidP="00F1222D">
            <w:pPr>
              <w:spacing w:line="27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CB190C" w:rsidRPr="00A25884" w:rsidRDefault="00CB190C" w:rsidP="00F1222D">
            <w:pPr>
              <w:spacing w:line="27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Experiencial</w:t>
            </w:r>
          </w:p>
        </w:tc>
      </w:tr>
      <w:tr w:rsidR="00CB190C" w:rsidRPr="00A25884" w:rsidTr="00F1222D">
        <w:tc>
          <w:tcPr>
            <w:tcW w:w="4644" w:type="dxa"/>
          </w:tcPr>
          <w:p w:rsidR="00CB190C" w:rsidRPr="009B5A21" w:rsidRDefault="00CB190C" w:rsidP="00F1222D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Músicoterapia</w:t>
            </w:r>
            <w:proofErr w:type="spellEnd"/>
            <w:r>
              <w:rPr>
                <w:rFonts w:ascii="Arial Narrow" w:hAnsi="Arial Narrow"/>
                <w:color w:val="222222"/>
                <w:shd w:val="clear" w:color="auto" w:fill="FFFFFF"/>
              </w:rPr>
              <w:t>.</w:t>
            </w:r>
          </w:p>
        </w:tc>
        <w:tc>
          <w:tcPr>
            <w:tcW w:w="1418" w:type="dxa"/>
          </w:tcPr>
          <w:p w:rsidR="00CB190C" w:rsidRPr="00A25884" w:rsidRDefault="00CB190C" w:rsidP="00F1222D">
            <w:pPr>
              <w:spacing w:line="27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CB190C" w:rsidRPr="00A25884" w:rsidRDefault="00CB190C" w:rsidP="00F1222D">
            <w:pPr>
              <w:spacing w:line="27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Experiencial</w:t>
            </w:r>
          </w:p>
        </w:tc>
      </w:tr>
      <w:tr w:rsidR="00CB190C" w:rsidRPr="00A25884" w:rsidTr="00F1222D">
        <w:tc>
          <w:tcPr>
            <w:tcW w:w="4644" w:type="dxa"/>
          </w:tcPr>
          <w:p w:rsidR="00CB190C" w:rsidRPr="009B5A21" w:rsidRDefault="00CB190C" w:rsidP="00F1222D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Dramaterapia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CB190C" w:rsidRPr="00A25884" w:rsidRDefault="00CB190C" w:rsidP="00F1222D">
            <w:pPr>
              <w:spacing w:line="27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CB190C" w:rsidRPr="00A25884" w:rsidRDefault="00CB190C" w:rsidP="00F1222D">
            <w:pPr>
              <w:spacing w:line="27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Experiencial</w:t>
            </w:r>
          </w:p>
        </w:tc>
      </w:tr>
      <w:tr w:rsidR="00CB190C" w:rsidRPr="00A25884" w:rsidTr="00F1222D">
        <w:tc>
          <w:tcPr>
            <w:tcW w:w="4644" w:type="dxa"/>
            <w:shd w:val="clear" w:color="auto" w:fill="D9D9D9" w:themeFill="background1" w:themeFillShade="D9"/>
          </w:tcPr>
          <w:p w:rsidR="00CB190C" w:rsidRPr="00A25884" w:rsidRDefault="00CB190C" w:rsidP="00F1222D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Suma de créditos</w:t>
            </w:r>
          </w:p>
        </w:tc>
        <w:tc>
          <w:tcPr>
            <w:tcW w:w="1418" w:type="dxa"/>
            <w:shd w:val="clear" w:color="auto" w:fill="FFFFFF" w:themeFill="background1"/>
          </w:tcPr>
          <w:p w:rsidR="00CB190C" w:rsidRPr="00A25884" w:rsidRDefault="00CB190C" w:rsidP="00F1222D">
            <w:pPr>
              <w:spacing w:line="27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84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CB190C" w:rsidRPr="00A25884" w:rsidRDefault="00CB190C" w:rsidP="00F1222D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B190C" w:rsidRPr="00A25884" w:rsidTr="00F1222D">
        <w:tc>
          <w:tcPr>
            <w:tcW w:w="4644" w:type="dxa"/>
            <w:shd w:val="clear" w:color="auto" w:fill="D9D9D9" w:themeFill="background1" w:themeFillShade="D9"/>
          </w:tcPr>
          <w:p w:rsidR="00CB190C" w:rsidRPr="00A25884" w:rsidRDefault="00CB190C" w:rsidP="00F1222D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Suma de horas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CB190C" w:rsidRPr="00A25884" w:rsidRDefault="00CB190C" w:rsidP="00F1222D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CB190C" w:rsidRPr="00A25884" w:rsidRDefault="00CB190C" w:rsidP="00F1222D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CB190C" w:rsidRDefault="00CB190C" w:rsidP="00CB190C"/>
    <w:p w:rsidR="006A283A" w:rsidRDefault="006A283A"/>
    <w:sectPr w:rsidR="006A283A" w:rsidSect="009735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90C"/>
    <w:rsid w:val="006A283A"/>
    <w:rsid w:val="00CB1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9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B19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9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B19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711</Characters>
  <Application>Microsoft Office Word</Application>
  <DocSecurity>0</DocSecurity>
  <Lines>5</Lines>
  <Paragraphs>1</Paragraphs>
  <ScaleCrop>false</ScaleCrop>
  <Company>Luffi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1</cp:revision>
  <dcterms:created xsi:type="dcterms:W3CDTF">2018-05-27T21:19:00Z</dcterms:created>
  <dcterms:modified xsi:type="dcterms:W3CDTF">2018-05-27T21:20:00Z</dcterms:modified>
</cp:coreProperties>
</file>